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44C" w:rsidRPr="00F7544C" w:rsidRDefault="00F7544C" w:rsidP="00F7544C">
      <w:pPr>
        <w:spacing w:after="240" w:line="240" w:lineRule="auto"/>
        <w:jc w:val="center"/>
        <w:rPr>
          <w:rFonts w:eastAsia="Times New Roman" w:cstheme="minorHAnsi"/>
          <w:b/>
          <w:sz w:val="36"/>
          <w:szCs w:val="36"/>
          <w:lang w:eastAsia="en-AU"/>
        </w:rPr>
      </w:pPr>
      <w:r w:rsidRPr="00F7544C">
        <w:rPr>
          <w:rFonts w:eastAsia="Times New Roman" w:cstheme="minorHAnsi"/>
          <w:b/>
          <w:sz w:val="36"/>
          <w:szCs w:val="36"/>
          <w:lang w:eastAsia="en-AU"/>
        </w:rPr>
        <w:t>5Es</w:t>
      </w:r>
    </w:p>
    <w:p w:rsidR="006B4CEE" w:rsidRPr="006B4CEE" w:rsidRDefault="006B4CEE" w:rsidP="006B4CEE">
      <w:pPr>
        <w:spacing w:after="240" w:line="240" w:lineRule="auto"/>
        <w:rPr>
          <w:rFonts w:eastAsia="Times New Roman" w:cstheme="minorHAnsi"/>
          <w:sz w:val="20"/>
          <w:szCs w:val="20"/>
          <w:lang w:eastAsia="en-AU"/>
        </w:rPr>
      </w:pPr>
      <w:r w:rsidRPr="006B4CEE">
        <w:rPr>
          <w:rFonts w:eastAsia="Times New Roman" w:cstheme="minorHAnsi"/>
          <w:sz w:val="20"/>
          <w:szCs w:val="20"/>
          <w:lang w:eastAsia="en-AU"/>
        </w:rPr>
        <w:t xml:space="preserve"> The 5Es teaching and learning model is based on the theory that students learn best when they are allowed to work out explanations for themselves over time through a variety of learning experiences structured by the teacher. Students use their prior knowledge to make sense of these experiences and then make connections between new information and their prior knowledge.</w:t>
      </w:r>
    </w:p>
    <w:tbl>
      <w:tblPr>
        <w:tblW w:w="0" w:type="auto"/>
        <w:tblCellSpacing w:w="3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831"/>
        <w:gridCol w:w="4239"/>
      </w:tblGrid>
      <w:tr w:rsidR="006B4CEE" w:rsidRPr="006B4CEE" w:rsidTr="006B4CEE">
        <w:trPr>
          <w:tblCellSpacing w:w="37" w:type="dxa"/>
        </w:trPr>
        <w:tc>
          <w:tcPr>
            <w:tcW w:w="0" w:type="auto"/>
            <w:vAlign w:val="center"/>
            <w:hideMark/>
          </w:tcPr>
          <w:p w:rsidR="006B4CEE" w:rsidRPr="006B4CEE" w:rsidRDefault="006B4CEE" w:rsidP="006B4CE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F7544C">
              <w:rPr>
                <w:rFonts w:eastAsia="Times New Roman" w:cstheme="minorHAnsi"/>
                <w:noProof/>
                <w:sz w:val="20"/>
                <w:szCs w:val="20"/>
                <w:lang w:eastAsia="en-AU"/>
              </w:rPr>
              <w:drawing>
                <wp:inline distT="0" distB="0" distL="0" distR="0" wp14:anchorId="4945DEEA" wp14:editId="18858875">
                  <wp:extent cx="352425" cy="333375"/>
                  <wp:effectExtent l="0" t="0" r="9525" b="9525"/>
                  <wp:docPr id="5" name="Picture 5" descr="https://online.cdu.edu.au/bbcswebdav/pid-1112083-dt-content-rid-337074_4/xid-337074_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online.cdu.edu.au/bbcswebdav/pid-1112083-dt-content-rid-337074_4/xid-337074_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B4CEE" w:rsidRPr="006B4CEE" w:rsidRDefault="006B4CEE" w:rsidP="006B4CE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b/>
                <w:bCs/>
                <w:sz w:val="20"/>
                <w:szCs w:val="20"/>
                <w:lang w:eastAsia="en-AU"/>
              </w:rPr>
              <w:t xml:space="preserve">For each aspect of this model go to: </w:t>
            </w: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br/>
            </w: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br/>
            </w:r>
            <w:hyperlink r:id="rId6" w:history="1">
              <w:r w:rsidRPr="00F7544C">
                <w:rPr>
                  <w:rFonts w:eastAsia="Times New Roman" w:cstheme="minorHAnsi"/>
                  <w:color w:val="0000FF"/>
                  <w:sz w:val="20"/>
                  <w:szCs w:val="20"/>
                  <w:u w:val="single"/>
                  <w:lang w:eastAsia="en-AU"/>
                </w:rPr>
                <w:t>http://www.science.org.au/primaryconnections/</w:t>
              </w:r>
            </w:hyperlink>
          </w:p>
        </w:tc>
      </w:tr>
    </w:tbl>
    <w:p w:rsidR="006B4CEE" w:rsidRPr="006B4CEE" w:rsidRDefault="006B4CEE" w:rsidP="006B4CEE">
      <w:pPr>
        <w:spacing w:after="240" w:line="240" w:lineRule="auto"/>
        <w:rPr>
          <w:rFonts w:eastAsia="Times New Roman" w:cstheme="minorHAnsi"/>
          <w:sz w:val="20"/>
          <w:szCs w:val="20"/>
          <w:lang w:eastAsia="en-AU"/>
        </w:rPr>
      </w:pPr>
      <w:r w:rsidRPr="006B4CEE">
        <w:rPr>
          <w:rFonts w:eastAsia="Times New Roman" w:cstheme="minorHAnsi"/>
          <w:sz w:val="20"/>
          <w:szCs w:val="20"/>
          <w:lang w:eastAsia="en-AU"/>
        </w:rPr>
        <w:br/>
      </w:r>
      <w:r w:rsidRPr="006B4CEE">
        <w:rPr>
          <w:rFonts w:eastAsia="Times New Roman" w:cstheme="minorHAnsi"/>
          <w:b/>
          <w:bCs/>
          <w:color w:val="003359"/>
          <w:sz w:val="20"/>
          <w:szCs w:val="20"/>
          <w:lang w:eastAsia="en-AU"/>
        </w:rPr>
        <w:t xml:space="preserve">Using a Learning Cycle Model in Lesson Planning </w:t>
      </w:r>
      <w:r w:rsidRPr="006B4CEE">
        <w:rPr>
          <w:rFonts w:eastAsia="Times New Roman" w:cstheme="minorHAnsi"/>
          <w:sz w:val="20"/>
          <w:szCs w:val="20"/>
          <w:lang w:eastAsia="en-AU"/>
        </w:rPr>
        <w:br/>
      </w:r>
      <w:r w:rsidRPr="006B4CEE">
        <w:rPr>
          <w:rFonts w:eastAsia="Times New Roman" w:cstheme="minorHAnsi"/>
          <w:sz w:val="20"/>
          <w:szCs w:val="20"/>
          <w:lang w:eastAsia="en-AU"/>
        </w:rPr>
        <w:br/>
        <w:t xml:space="preserve">The table below is based upon a four step learning cycle model as featured in Bentley, Ebert &amp; Ebert (2000) , but the examples of learner and teacher behaviours provided here can be adapted to fit other learning cycle models. </w:t>
      </w:r>
      <w:r w:rsidRPr="006B4CEE">
        <w:rPr>
          <w:rFonts w:eastAsia="Times New Roman" w:cstheme="minorHAnsi"/>
          <w:sz w:val="20"/>
          <w:szCs w:val="20"/>
          <w:lang w:eastAsia="en-AU"/>
        </w:rPr>
        <w:br/>
      </w:r>
      <w:r w:rsidRPr="006B4CEE">
        <w:rPr>
          <w:rFonts w:eastAsia="Times New Roman" w:cstheme="minorHAnsi"/>
          <w:sz w:val="20"/>
          <w:szCs w:val="20"/>
          <w:lang w:eastAsia="en-AU"/>
        </w:rPr>
        <w:br/>
      </w:r>
      <w:r w:rsidRPr="006B4CEE">
        <w:rPr>
          <w:rFonts w:eastAsia="Times New Roman" w:cstheme="minorHAnsi"/>
          <w:b/>
          <w:bCs/>
          <w:color w:val="003359"/>
          <w:sz w:val="20"/>
          <w:szCs w:val="20"/>
          <w:lang w:eastAsia="en-AU"/>
        </w:rPr>
        <w:t>Engage: Learner is excited, and enthused</w:t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617"/>
        <w:gridCol w:w="4617"/>
      </w:tblGrid>
      <w:tr w:rsidR="006B4CEE" w:rsidRPr="006B4CEE" w:rsidTr="006B4CEE">
        <w:trPr>
          <w:tblCellSpacing w:w="22" w:type="dxa"/>
        </w:trPr>
        <w:tc>
          <w:tcPr>
            <w:tcW w:w="4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b/>
                <w:bCs/>
                <w:color w:val="003359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b/>
                <w:bCs/>
                <w:color w:val="003359"/>
                <w:sz w:val="20"/>
                <w:szCs w:val="20"/>
                <w:lang w:eastAsia="en-AU"/>
              </w:rPr>
              <w:t xml:space="preserve">Learner   </w:t>
            </w:r>
          </w:p>
        </w:tc>
        <w:tc>
          <w:tcPr>
            <w:tcW w:w="4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b/>
                <w:bCs/>
                <w:color w:val="003359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b/>
                <w:bCs/>
                <w:color w:val="003359"/>
                <w:sz w:val="20"/>
                <w:szCs w:val="20"/>
                <w:lang w:eastAsia="en-AU"/>
              </w:rPr>
              <w:t xml:space="preserve">Teacher   </w:t>
            </w:r>
          </w:p>
        </w:tc>
      </w:tr>
      <w:tr w:rsidR="006B4CEE" w:rsidRPr="006B4CEE" w:rsidTr="006B4CEE">
        <w:trPr>
          <w:tblCellSpacing w:w="22" w:type="dxa"/>
        </w:trPr>
        <w:tc>
          <w:tcPr>
            <w:tcW w:w="4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>calls up  </w:t>
            </w:r>
          </w:p>
        </w:tc>
        <w:tc>
          <w:tcPr>
            <w:tcW w:w="4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>poses problems  </w:t>
            </w:r>
          </w:p>
        </w:tc>
      </w:tr>
      <w:tr w:rsidR="006B4CEE" w:rsidRPr="006B4CEE" w:rsidTr="006B4CEE">
        <w:trPr>
          <w:tblCellSpacing w:w="22" w:type="dxa"/>
        </w:trPr>
        <w:tc>
          <w:tcPr>
            <w:tcW w:w="4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>has an interest  </w:t>
            </w:r>
          </w:p>
        </w:tc>
        <w:tc>
          <w:tcPr>
            <w:tcW w:w="4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>asks questions  </w:t>
            </w:r>
          </w:p>
        </w:tc>
      </w:tr>
      <w:tr w:rsidR="006B4CEE" w:rsidRPr="006B4CEE" w:rsidTr="006B4CEE">
        <w:trPr>
          <w:tblCellSpacing w:w="22" w:type="dxa"/>
        </w:trPr>
        <w:tc>
          <w:tcPr>
            <w:tcW w:w="4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>experiences doubt or disequilibrium  </w:t>
            </w:r>
          </w:p>
        </w:tc>
        <w:tc>
          <w:tcPr>
            <w:tcW w:w="4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>reveals discrepancies  </w:t>
            </w:r>
          </w:p>
        </w:tc>
      </w:tr>
      <w:tr w:rsidR="006B4CEE" w:rsidRPr="006B4CEE" w:rsidTr="006B4CEE">
        <w:trPr>
          <w:tblCellSpacing w:w="22" w:type="dxa"/>
        </w:trPr>
        <w:tc>
          <w:tcPr>
            <w:tcW w:w="4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>has a question(s)  </w:t>
            </w:r>
          </w:p>
        </w:tc>
        <w:tc>
          <w:tcPr>
            <w:tcW w:w="4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>causes disequilibrium or doubt  </w:t>
            </w:r>
          </w:p>
        </w:tc>
      </w:tr>
      <w:tr w:rsidR="006B4CEE" w:rsidRPr="006B4CEE" w:rsidTr="006B4CEE">
        <w:trPr>
          <w:tblCellSpacing w:w="22" w:type="dxa"/>
        </w:trPr>
        <w:tc>
          <w:tcPr>
            <w:tcW w:w="4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>identifies problems to solve, decisions to be   made, conflicts to be resolved  </w:t>
            </w:r>
          </w:p>
        </w:tc>
        <w:tc>
          <w:tcPr>
            <w:tcW w:w="4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>assess prior knowledge  </w:t>
            </w:r>
          </w:p>
        </w:tc>
      </w:tr>
      <w:tr w:rsidR="006B4CEE" w:rsidRPr="006B4CEE" w:rsidTr="006B4CEE">
        <w:trPr>
          <w:tblCellSpacing w:w="22" w:type="dxa"/>
        </w:trPr>
        <w:tc>
          <w:tcPr>
            <w:tcW w:w="4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proofErr w:type="gramStart"/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>writes</w:t>
            </w:r>
            <w:proofErr w:type="gramEnd"/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 xml:space="preserve"> questions, problems, etc.  </w:t>
            </w:r>
          </w:p>
        </w:tc>
        <w:tc>
          <w:tcPr>
            <w:tcW w:w="4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</w:p>
        </w:tc>
      </w:tr>
      <w:tr w:rsidR="006B4CEE" w:rsidRPr="006B4CEE" w:rsidTr="006B4CEE">
        <w:trPr>
          <w:tblCellSpacing w:w="22" w:type="dxa"/>
        </w:trPr>
        <w:tc>
          <w:tcPr>
            <w:tcW w:w="4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>develops a need to know  </w:t>
            </w:r>
          </w:p>
        </w:tc>
        <w:tc>
          <w:tcPr>
            <w:tcW w:w="4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</w:p>
        </w:tc>
      </w:tr>
      <w:tr w:rsidR="006B4CEE" w:rsidRPr="006B4CEE" w:rsidTr="006B4CEE">
        <w:trPr>
          <w:tblCellSpacing w:w="22" w:type="dxa"/>
        </w:trPr>
        <w:tc>
          <w:tcPr>
            <w:tcW w:w="4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>self reflects and evaluates  </w:t>
            </w:r>
          </w:p>
        </w:tc>
        <w:tc>
          <w:tcPr>
            <w:tcW w:w="4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</w:p>
        </w:tc>
      </w:tr>
    </w:tbl>
    <w:p w:rsidR="006B4CEE" w:rsidRPr="006B4CEE" w:rsidRDefault="006B4CEE" w:rsidP="006B4CEE">
      <w:pPr>
        <w:spacing w:after="240" w:line="240" w:lineRule="auto"/>
        <w:rPr>
          <w:rFonts w:eastAsia="Times New Roman" w:cstheme="minorHAnsi"/>
          <w:sz w:val="20"/>
          <w:szCs w:val="20"/>
          <w:lang w:eastAsia="en-AU"/>
        </w:rPr>
      </w:pPr>
      <w:r w:rsidRPr="006B4CEE">
        <w:rPr>
          <w:rFonts w:eastAsia="Times New Roman" w:cstheme="minorHAnsi"/>
          <w:b/>
          <w:bCs/>
          <w:color w:val="003359"/>
          <w:sz w:val="20"/>
          <w:szCs w:val="20"/>
          <w:lang w:eastAsia="en-AU"/>
        </w:rPr>
        <w:br/>
      </w:r>
      <w:proofErr w:type="spellStart"/>
      <w:r w:rsidRPr="006B4CEE">
        <w:rPr>
          <w:rFonts w:eastAsia="Times New Roman" w:cstheme="minorHAnsi"/>
          <w:b/>
          <w:bCs/>
          <w:color w:val="003359"/>
          <w:sz w:val="20"/>
          <w:szCs w:val="20"/>
          <w:lang w:eastAsia="en-AU"/>
        </w:rPr>
        <w:t>Explore</w:t>
      </w:r>
      <w:proofErr w:type="gramStart"/>
      <w:r w:rsidRPr="006B4CEE">
        <w:rPr>
          <w:rFonts w:eastAsia="Times New Roman" w:cstheme="minorHAnsi"/>
          <w:b/>
          <w:bCs/>
          <w:color w:val="003359"/>
          <w:sz w:val="20"/>
          <w:szCs w:val="20"/>
          <w:lang w:eastAsia="en-AU"/>
        </w:rPr>
        <w:t>:Learner</w:t>
      </w:r>
      <w:proofErr w:type="spellEnd"/>
      <w:proofErr w:type="gramEnd"/>
      <w:r w:rsidRPr="006B4CEE">
        <w:rPr>
          <w:rFonts w:eastAsia="Times New Roman" w:cstheme="minorHAnsi"/>
          <w:b/>
          <w:bCs/>
          <w:color w:val="003359"/>
          <w:sz w:val="20"/>
          <w:szCs w:val="20"/>
          <w:lang w:eastAsia="en-AU"/>
        </w:rPr>
        <w:t xml:space="preserve"> gathers, organises, interprets, analyses, evaluates data. </w:t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617"/>
        <w:gridCol w:w="4617"/>
      </w:tblGrid>
      <w:tr w:rsidR="006B4CEE" w:rsidRPr="006B4CEE" w:rsidTr="006B4CEE">
        <w:trPr>
          <w:tblCellSpacing w:w="22" w:type="dxa"/>
        </w:trPr>
        <w:tc>
          <w:tcPr>
            <w:tcW w:w="4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CEE" w:rsidRPr="006B4CEE" w:rsidRDefault="006B4CEE" w:rsidP="006B4CEE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b/>
                <w:bCs/>
                <w:color w:val="003359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b/>
                <w:bCs/>
                <w:color w:val="003359"/>
                <w:sz w:val="20"/>
                <w:szCs w:val="20"/>
                <w:lang w:eastAsia="en-AU"/>
              </w:rPr>
              <w:t xml:space="preserve">Learner   </w:t>
            </w:r>
          </w:p>
        </w:tc>
        <w:tc>
          <w:tcPr>
            <w:tcW w:w="4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CEE" w:rsidRPr="006B4CEE" w:rsidRDefault="006B4CEE" w:rsidP="006B4CEE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b/>
                <w:bCs/>
                <w:color w:val="003359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b/>
                <w:bCs/>
                <w:color w:val="003359"/>
                <w:sz w:val="20"/>
                <w:szCs w:val="20"/>
                <w:lang w:eastAsia="en-AU"/>
              </w:rPr>
              <w:t xml:space="preserve">Teacher   </w:t>
            </w:r>
          </w:p>
        </w:tc>
      </w:tr>
      <w:tr w:rsidR="006B4CEE" w:rsidRPr="006B4CEE" w:rsidTr="006B4CEE">
        <w:trPr>
          <w:tblCellSpacing w:w="22" w:type="dxa"/>
        </w:trPr>
        <w:tc>
          <w:tcPr>
            <w:tcW w:w="4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CEE" w:rsidRPr="006B4CEE" w:rsidRDefault="006B4CEE" w:rsidP="006B4CE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>clarifies understandings  </w:t>
            </w:r>
          </w:p>
        </w:tc>
        <w:tc>
          <w:tcPr>
            <w:tcW w:w="4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CEE" w:rsidRPr="006B4CEE" w:rsidRDefault="006B4CEE" w:rsidP="006B4CE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>provides feedback  </w:t>
            </w:r>
          </w:p>
        </w:tc>
      </w:tr>
      <w:tr w:rsidR="006B4CEE" w:rsidRPr="006B4CEE" w:rsidTr="006B4CEE">
        <w:trPr>
          <w:tblCellSpacing w:w="22" w:type="dxa"/>
        </w:trPr>
        <w:tc>
          <w:tcPr>
            <w:tcW w:w="4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CEE" w:rsidRPr="006B4CEE" w:rsidRDefault="006B4CEE" w:rsidP="006B4CE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>shares understandings for feedback  </w:t>
            </w:r>
          </w:p>
        </w:tc>
        <w:tc>
          <w:tcPr>
            <w:tcW w:w="4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CEE" w:rsidRPr="006B4CEE" w:rsidRDefault="006B4CEE" w:rsidP="006B4CE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>asks questions, poses new problems and issues  </w:t>
            </w:r>
          </w:p>
        </w:tc>
      </w:tr>
      <w:tr w:rsidR="006B4CEE" w:rsidRPr="006B4CEE" w:rsidTr="006B4CEE">
        <w:trPr>
          <w:tblCellSpacing w:w="22" w:type="dxa"/>
        </w:trPr>
        <w:tc>
          <w:tcPr>
            <w:tcW w:w="4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CEE" w:rsidRPr="006B4CEE" w:rsidRDefault="006B4CEE" w:rsidP="006B4CE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>forms generalizations  </w:t>
            </w:r>
          </w:p>
        </w:tc>
        <w:tc>
          <w:tcPr>
            <w:tcW w:w="4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CEE" w:rsidRPr="006B4CEE" w:rsidRDefault="006B4CEE" w:rsidP="006B4CE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>models or suggests possible modes  </w:t>
            </w:r>
          </w:p>
        </w:tc>
      </w:tr>
      <w:tr w:rsidR="006B4CEE" w:rsidRPr="006B4CEE" w:rsidTr="006B4CEE">
        <w:trPr>
          <w:tblCellSpacing w:w="22" w:type="dxa"/>
        </w:trPr>
        <w:tc>
          <w:tcPr>
            <w:tcW w:w="4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CEE" w:rsidRPr="006B4CEE" w:rsidRDefault="006B4CEE" w:rsidP="006B4CE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>reflects on plausibility  </w:t>
            </w:r>
          </w:p>
        </w:tc>
        <w:tc>
          <w:tcPr>
            <w:tcW w:w="4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CEE" w:rsidRPr="006B4CEE" w:rsidRDefault="006B4CEE" w:rsidP="006B4CE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>offers alternative explanations  </w:t>
            </w:r>
          </w:p>
        </w:tc>
      </w:tr>
      <w:tr w:rsidR="006B4CEE" w:rsidRPr="006B4CEE" w:rsidTr="006B4CEE">
        <w:trPr>
          <w:tblCellSpacing w:w="22" w:type="dxa"/>
        </w:trPr>
        <w:tc>
          <w:tcPr>
            <w:tcW w:w="4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CEE" w:rsidRPr="006B4CEE" w:rsidRDefault="006B4CEE" w:rsidP="006B4CE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>seeks new explanations  </w:t>
            </w:r>
          </w:p>
        </w:tc>
        <w:tc>
          <w:tcPr>
            <w:tcW w:w="4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CEE" w:rsidRPr="006B4CEE" w:rsidRDefault="006B4CEE" w:rsidP="006B4CE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>enhances or clarifies explanations  </w:t>
            </w:r>
          </w:p>
        </w:tc>
      </w:tr>
      <w:tr w:rsidR="006B4CEE" w:rsidRPr="006B4CEE" w:rsidTr="006B4CEE">
        <w:trPr>
          <w:tblCellSpacing w:w="22" w:type="dxa"/>
        </w:trPr>
        <w:tc>
          <w:tcPr>
            <w:tcW w:w="4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CEE" w:rsidRPr="006B4CEE" w:rsidRDefault="006B4CEE" w:rsidP="006B4CE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 xml:space="preserve">employs various modes for explanation (writing, art, </w:t>
            </w:r>
            <w:proofErr w:type="spellStart"/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>etc</w:t>
            </w:r>
            <w:proofErr w:type="spellEnd"/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>)  </w:t>
            </w:r>
          </w:p>
        </w:tc>
        <w:tc>
          <w:tcPr>
            <w:tcW w:w="4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CEE" w:rsidRPr="006B4CEE" w:rsidRDefault="006B4CEE" w:rsidP="006B4CE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>evaluates explanations  </w:t>
            </w:r>
          </w:p>
        </w:tc>
      </w:tr>
      <w:tr w:rsidR="006B4CEE" w:rsidRPr="006B4CEE" w:rsidTr="006B4CEE">
        <w:trPr>
          <w:tblCellSpacing w:w="22" w:type="dxa"/>
        </w:trPr>
        <w:tc>
          <w:tcPr>
            <w:tcW w:w="4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>develops a need to know  </w:t>
            </w:r>
          </w:p>
        </w:tc>
        <w:tc>
          <w:tcPr>
            <w:tcW w:w="4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</w:p>
        </w:tc>
      </w:tr>
      <w:tr w:rsidR="006B4CEE" w:rsidRPr="006B4CEE" w:rsidTr="006B4CEE">
        <w:trPr>
          <w:tblCellSpacing w:w="22" w:type="dxa"/>
        </w:trPr>
        <w:tc>
          <w:tcPr>
            <w:tcW w:w="4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>self reflects and evaluates  </w:t>
            </w:r>
          </w:p>
        </w:tc>
        <w:tc>
          <w:tcPr>
            <w:tcW w:w="4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</w:p>
        </w:tc>
      </w:tr>
    </w:tbl>
    <w:p w:rsidR="006B4CEE" w:rsidRPr="006B4CEE" w:rsidRDefault="006B4CEE" w:rsidP="006B4CEE">
      <w:pPr>
        <w:spacing w:after="0" w:line="240" w:lineRule="auto"/>
        <w:rPr>
          <w:rFonts w:eastAsia="Times New Roman" w:cstheme="minorHAnsi"/>
          <w:sz w:val="20"/>
          <w:szCs w:val="20"/>
          <w:lang w:eastAsia="en-AU"/>
        </w:rPr>
      </w:pPr>
      <w:r w:rsidRPr="006B4CEE">
        <w:rPr>
          <w:rFonts w:eastAsia="Times New Roman" w:cstheme="minorHAnsi"/>
          <w:b/>
          <w:bCs/>
          <w:color w:val="003359"/>
          <w:sz w:val="20"/>
          <w:szCs w:val="20"/>
          <w:lang w:eastAsia="en-AU"/>
        </w:rPr>
        <w:lastRenderedPageBreak/>
        <w:br/>
        <w:t xml:space="preserve">Explain and Clarify: Learner clarifies understandings discovered, reaches conclusions or generalizations and communicates in varying modes and forms </w:t>
      </w:r>
    </w:p>
    <w:p w:rsidR="006B4CEE" w:rsidRPr="006B4CEE" w:rsidRDefault="006B4CEE" w:rsidP="006B4CEE">
      <w:pPr>
        <w:spacing w:after="0" w:line="240" w:lineRule="auto"/>
        <w:rPr>
          <w:rFonts w:eastAsia="Times New Roman" w:cstheme="minorHAnsi"/>
          <w:sz w:val="20"/>
          <w:szCs w:val="20"/>
          <w:lang w:eastAsia="en-AU"/>
        </w:rPr>
      </w:pPr>
      <w:r w:rsidRPr="006B4CEE">
        <w:rPr>
          <w:rFonts w:eastAsia="Times New Roman" w:cstheme="minorHAnsi"/>
          <w:sz w:val="20"/>
          <w:szCs w:val="20"/>
          <w:lang w:eastAsia="en-AU"/>
        </w:rPr>
        <w:t xml:space="preserve">  </w:t>
      </w:r>
    </w:p>
    <w:p w:rsidR="006B4CEE" w:rsidRPr="006B4CEE" w:rsidRDefault="006B4CEE" w:rsidP="006B4CEE">
      <w:pPr>
        <w:spacing w:after="0" w:line="240" w:lineRule="auto"/>
        <w:rPr>
          <w:rFonts w:eastAsia="Times New Roman" w:cstheme="minorHAnsi"/>
          <w:vanish/>
          <w:sz w:val="20"/>
          <w:szCs w:val="20"/>
          <w:lang w:eastAsia="en-AU"/>
        </w:rPr>
      </w:pP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027"/>
        <w:gridCol w:w="4207"/>
      </w:tblGrid>
      <w:tr w:rsidR="006B4CEE" w:rsidRPr="006B4CEE" w:rsidTr="006B4CEE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b/>
                <w:bCs/>
                <w:sz w:val="20"/>
                <w:szCs w:val="20"/>
                <w:lang w:eastAsia="en-AU"/>
              </w:rPr>
              <w:t xml:space="preserve">Learner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b/>
                <w:bCs/>
                <w:sz w:val="20"/>
                <w:szCs w:val="20"/>
                <w:lang w:eastAsia="en-AU"/>
              </w:rPr>
              <w:t xml:space="preserve">Teacher   </w:t>
            </w:r>
          </w:p>
        </w:tc>
      </w:tr>
      <w:tr w:rsidR="006B4CEE" w:rsidRPr="006B4CEE" w:rsidTr="006B4CEE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after="24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 xml:space="preserve">clarifies understandings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after="24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 xml:space="preserve">provides feedback </w:t>
            </w:r>
          </w:p>
        </w:tc>
      </w:tr>
      <w:tr w:rsidR="006B4CEE" w:rsidRPr="006B4CEE" w:rsidTr="006B4CEE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after="24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 xml:space="preserve">shares understandings for feedback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after="24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 xml:space="preserve">asks questions, poses new problems and issues </w:t>
            </w:r>
          </w:p>
        </w:tc>
      </w:tr>
      <w:tr w:rsidR="006B4CEE" w:rsidRPr="006B4CEE" w:rsidTr="006B4CEE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after="24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 xml:space="preserve">forms generalizations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after="24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 xml:space="preserve">models or suggests possible modes </w:t>
            </w:r>
          </w:p>
        </w:tc>
      </w:tr>
      <w:tr w:rsidR="006B4CEE" w:rsidRPr="006B4CEE" w:rsidTr="006B4CEE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after="24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 xml:space="preserve">reflects on plausibility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after="24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 xml:space="preserve">offers alternative explanations </w:t>
            </w:r>
          </w:p>
        </w:tc>
      </w:tr>
      <w:tr w:rsidR="006B4CEE" w:rsidRPr="006B4CEE" w:rsidTr="006B4CEE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after="24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 xml:space="preserve">seeks new explanations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after="24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 xml:space="preserve">enhances or clarifies explanations </w:t>
            </w:r>
          </w:p>
        </w:tc>
      </w:tr>
      <w:tr w:rsidR="006B4CEE" w:rsidRPr="006B4CEE" w:rsidTr="006B4CEE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after="24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 xml:space="preserve">employs various modes for explanation (writing, art, </w:t>
            </w:r>
            <w:proofErr w:type="spellStart"/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>etc</w:t>
            </w:r>
            <w:proofErr w:type="spellEnd"/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 xml:space="preserve">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>evaluates explanations</w:t>
            </w:r>
          </w:p>
        </w:tc>
      </w:tr>
      <w:tr w:rsidR="006B4CEE" w:rsidRPr="006B4CEE" w:rsidTr="006B4CEE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after="24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 xml:space="preserve">develops a need to know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</w:p>
        </w:tc>
      </w:tr>
      <w:tr w:rsidR="006B4CEE" w:rsidRPr="006B4CEE" w:rsidTr="006B4CEE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 xml:space="preserve">self reflects and evaluates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</w:p>
        </w:tc>
      </w:tr>
    </w:tbl>
    <w:p w:rsidR="006B4CEE" w:rsidRPr="006B4CEE" w:rsidRDefault="006B4CEE" w:rsidP="006B4CEE">
      <w:pPr>
        <w:spacing w:after="240" w:line="240" w:lineRule="auto"/>
        <w:rPr>
          <w:rFonts w:eastAsia="Times New Roman" w:cstheme="minorHAnsi"/>
          <w:sz w:val="20"/>
          <w:szCs w:val="20"/>
          <w:lang w:eastAsia="en-AU"/>
        </w:rPr>
      </w:pPr>
      <w:r w:rsidRPr="006B4CEE">
        <w:rPr>
          <w:rFonts w:eastAsia="Times New Roman" w:cstheme="minorHAnsi"/>
          <w:sz w:val="20"/>
          <w:szCs w:val="20"/>
          <w:lang w:eastAsia="en-AU"/>
        </w:rPr>
        <w:br/>
      </w:r>
      <w:r w:rsidRPr="006B4CEE">
        <w:rPr>
          <w:rFonts w:eastAsia="Times New Roman" w:cstheme="minorHAnsi"/>
          <w:b/>
          <w:bCs/>
          <w:color w:val="003359"/>
          <w:sz w:val="20"/>
          <w:szCs w:val="20"/>
          <w:lang w:eastAsia="en-AU"/>
        </w:rPr>
        <w:t>Elaborate: Learner applies these conclusions or generalisations to solve problems, make decisions, perform tasks, resolve conflicts or make meaning. Students apply what they have learned to new situations.</w:t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135"/>
        <w:gridCol w:w="3807"/>
        <w:gridCol w:w="292"/>
      </w:tblGrid>
      <w:tr w:rsidR="006B4CEE" w:rsidRPr="006B4CEE" w:rsidTr="006B4CEE">
        <w:trPr>
          <w:gridAfter w:val="1"/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b/>
                <w:bCs/>
                <w:sz w:val="20"/>
                <w:szCs w:val="20"/>
                <w:lang w:eastAsia="en-AU"/>
              </w:rPr>
              <w:t xml:space="preserve">Learner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b/>
                <w:bCs/>
                <w:sz w:val="20"/>
                <w:szCs w:val="20"/>
                <w:lang w:eastAsia="en-AU"/>
              </w:rPr>
              <w:t xml:space="preserve">Teacher </w:t>
            </w:r>
          </w:p>
        </w:tc>
      </w:tr>
      <w:tr w:rsidR="006B4CEE" w:rsidRPr="006B4CEE" w:rsidTr="006B4CEE">
        <w:trPr>
          <w:gridAfter w:val="1"/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after="24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 xml:space="preserve">applies new knowledge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after="24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 xml:space="preserve">asks questions </w:t>
            </w:r>
          </w:p>
        </w:tc>
      </w:tr>
      <w:tr w:rsidR="006B4CEE" w:rsidRPr="006B4CEE" w:rsidTr="006B4CEE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after="24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 xml:space="preserve">solves problems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 xml:space="preserve">provides feedback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</w:p>
        </w:tc>
        <w:bookmarkStart w:id="0" w:name="_GoBack"/>
        <w:bookmarkEnd w:id="0"/>
      </w:tr>
      <w:tr w:rsidR="006B4CEE" w:rsidRPr="006B4CEE" w:rsidTr="006B4CEE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after="24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 xml:space="preserve">makes decisions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after="24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 xml:space="preserve">provides resources </w:t>
            </w:r>
          </w:p>
        </w:tc>
        <w:tc>
          <w:tcPr>
            <w:tcW w:w="0" w:type="auto"/>
            <w:vAlign w:val="center"/>
            <w:hideMark/>
          </w:tcPr>
          <w:p w:rsidR="006B4CEE" w:rsidRPr="006B4CEE" w:rsidRDefault="006B4CEE" w:rsidP="006B4CE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</w:p>
        </w:tc>
      </w:tr>
      <w:tr w:rsidR="006B4CEE" w:rsidRPr="006B4CEE" w:rsidTr="006B4CEE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after="24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 xml:space="preserve">performs new related tasks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 xml:space="preserve">makes open suggestions </w:t>
            </w:r>
          </w:p>
        </w:tc>
        <w:tc>
          <w:tcPr>
            <w:tcW w:w="0" w:type="auto"/>
            <w:vAlign w:val="center"/>
            <w:hideMark/>
          </w:tcPr>
          <w:p w:rsidR="006B4CEE" w:rsidRPr="006B4CEE" w:rsidRDefault="006B4CEE" w:rsidP="006B4CE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</w:p>
        </w:tc>
      </w:tr>
      <w:tr w:rsidR="006B4CEE" w:rsidRPr="006B4CEE" w:rsidTr="006B4CEE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after="24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 xml:space="preserve">resolves conflicts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after="24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 xml:space="preserve">models when necessary </w:t>
            </w:r>
          </w:p>
        </w:tc>
        <w:tc>
          <w:tcPr>
            <w:tcW w:w="0" w:type="auto"/>
            <w:vAlign w:val="center"/>
            <w:hideMark/>
          </w:tcPr>
          <w:p w:rsidR="006B4CEE" w:rsidRPr="006B4CEE" w:rsidRDefault="006B4CEE" w:rsidP="006B4CE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</w:p>
        </w:tc>
      </w:tr>
      <w:tr w:rsidR="006B4CEE" w:rsidRPr="006B4CEE" w:rsidTr="006B4CEE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after="24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 xml:space="preserve">plans and carries out new project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after="24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 xml:space="preserve">evaluates </w:t>
            </w:r>
          </w:p>
        </w:tc>
        <w:tc>
          <w:tcPr>
            <w:tcW w:w="0" w:type="auto"/>
            <w:vAlign w:val="center"/>
            <w:hideMark/>
          </w:tcPr>
          <w:p w:rsidR="006B4CEE" w:rsidRPr="006B4CEE" w:rsidRDefault="006B4CEE" w:rsidP="006B4CE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</w:p>
        </w:tc>
      </w:tr>
      <w:tr w:rsidR="006B4CEE" w:rsidRPr="006B4CEE" w:rsidTr="006B4CEE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after="24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 xml:space="preserve">asks new questions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</w:p>
        </w:tc>
        <w:tc>
          <w:tcPr>
            <w:tcW w:w="0" w:type="auto"/>
            <w:vAlign w:val="center"/>
            <w:hideMark/>
          </w:tcPr>
          <w:p w:rsidR="006B4CEE" w:rsidRPr="006B4CEE" w:rsidRDefault="006B4CEE" w:rsidP="006B4CE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</w:p>
        </w:tc>
      </w:tr>
      <w:tr w:rsidR="006B4CEE" w:rsidRPr="006B4CEE" w:rsidTr="006B4CEE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B4CEE">
              <w:rPr>
                <w:rFonts w:eastAsia="Times New Roman" w:cstheme="minorHAnsi"/>
                <w:sz w:val="20"/>
                <w:szCs w:val="20"/>
                <w:lang w:eastAsia="en-AU"/>
              </w:rPr>
              <w:t xml:space="preserve">seeks further clarification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CEE" w:rsidRPr="006B4CEE" w:rsidRDefault="006B4CEE" w:rsidP="006B4CE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</w:p>
        </w:tc>
        <w:tc>
          <w:tcPr>
            <w:tcW w:w="0" w:type="auto"/>
            <w:vAlign w:val="center"/>
            <w:hideMark/>
          </w:tcPr>
          <w:p w:rsidR="006B4CEE" w:rsidRPr="006B4CEE" w:rsidRDefault="006B4CEE" w:rsidP="006B4CE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AU"/>
              </w:rPr>
            </w:pPr>
          </w:p>
        </w:tc>
      </w:tr>
    </w:tbl>
    <w:p w:rsidR="006B4CEE" w:rsidRPr="006B4CEE" w:rsidRDefault="006B4CEE" w:rsidP="006B4CEE">
      <w:pPr>
        <w:spacing w:after="0" w:line="240" w:lineRule="auto"/>
        <w:rPr>
          <w:rFonts w:eastAsia="Times New Roman" w:cstheme="minorHAnsi"/>
          <w:sz w:val="20"/>
          <w:szCs w:val="20"/>
          <w:lang w:eastAsia="en-AU"/>
        </w:rPr>
      </w:pPr>
      <w:r w:rsidRPr="006B4CEE">
        <w:rPr>
          <w:rFonts w:eastAsia="Times New Roman" w:cstheme="minorHAnsi"/>
          <w:sz w:val="20"/>
          <w:szCs w:val="20"/>
          <w:lang w:eastAsia="en-AU"/>
        </w:rPr>
        <w:br/>
      </w:r>
      <w:r w:rsidRPr="006B4CEE">
        <w:rPr>
          <w:rFonts w:eastAsia="Times New Roman" w:cstheme="minorHAnsi"/>
          <w:b/>
          <w:bCs/>
          <w:sz w:val="20"/>
          <w:szCs w:val="20"/>
          <w:lang w:eastAsia="en-AU"/>
        </w:rPr>
        <w:t>Source:</w:t>
      </w:r>
      <w:r w:rsidRPr="006B4CEE">
        <w:rPr>
          <w:rFonts w:eastAsia="Times New Roman" w:cstheme="minorHAnsi"/>
          <w:sz w:val="20"/>
          <w:szCs w:val="20"/>
          <w:lang w:eastAsia="en-AU"/>
        </w:rPr>
        <w:t xml:space="preserve"> Needham, R. A., Powell, D. &amp; Bentley, M. L. (1994).</w:t>
      </w:r>
      <w:r w:rsidRPr="006B4CEE">
        <w:rPr>
          <w:rFonts w:eastAsia="Times New Roman" w:cstheme="minorHAnsi"/>
          <w:i/>
          <w:iCs/>
          <w:sz w:val="20"/>
          <w:szCs w:val="20"/>
          <w:lang w:eastAsia="en-AU"/>
        </w:rPr>
        <w:t xml:space="preserve"> </w:t>
      </w:r>
      <w:proofErr w:type="gramStart"/>
      <w:r w:rsidRPr="006B4CEE">
        <w:rPr>
          <w:rFonts w:eastAsia="Times New Roman" w:cstheme="minorHAnsi"/>
          <w:i/>
          <w:iCs/>
          <w:sz w:val="20"/>
          <w:szCs w:val="20"/>
          <w:lang w:eastAsia="en-AU"/>
        </w:rPr>
        <w:t>Using Big Books in Science and Social Studies.</w:t>
      </w:r>
      <w:proofErr w:type="gramEnd"/>
      <w:r w:rsidRPr="006B4CEE">
        <w:rPr>
          <w:rFonts w:eastAsia="Times New Roman" w:cstheme="minorHAnsi"/>
          <w:i/>
          <w:iCs/>
          <w:sz w:val="20"/>
          <w:szCs w:val="20"/>
          <w:lang w:eastAsia="en-AU"/>
        </w:rPr>
        <w:t xml:space="preserve"> Paper presented at the Annual Meeting of the International Reading Association,</w:t>
      </w:r>
      <w:r w:rsidRPr="006B4CEE">
        <w:rPr>
          <w:rFonts w:eastAsia="Times New Roman" w:cstheme="minorHAnsi"/>
          <w:sz w:val="20"/>
          <w:szCs w:val="20"/>
          <w:lang w:eastAsia="en-AU"/>
        </w:rPr>
        <w:t xml:space="preserve"> Toronto, Canada, 1994.</w:t>
      </w:r>
    </w:p>
    <w:p w:rsidR="00D7641F" w:rsidRDefault="00F7544C"/>
    <w:sectPr w:rsidR="00D764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CEE"/>
    <w:rsid w:val="00505751"/>
    <w:rsid w:val="006B4CEE"/>
    <w:rsid w:val="00E422C9"/>
    <w:rsid w:val="00F75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6B4CE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B4CEE"/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character" w:styleId="Hyperlink">
    <w:name w:val="Hyperlink"/>
    <w:basedOn w:val="DefaultParagraphFont"/>
    <w:uiPriority w:val="99"/>
    <w:semiHidden/>
    <w:unhideWhenUsed/>
    <w:rsid w:val="006B4CE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B4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4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4C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6B4CE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B4CEE"/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character" w:styleId="Hyperlink">
    <w:name w:val="Hyperlink"/>
    <w:basedOn w:val="DefaultParagraphFont"/>
    <w:uiPriority w:val="99"/>
    <w:semiHidden/>
    <w:unhideWhenUsed/>
    <w:rsid w:val="006B4CE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B4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4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4C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5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0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62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03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19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cience.org.au/primaryconnections/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3202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CDU</dc:creator>
  <cp:lastModifiedBy>CDU</cp:lastModifiedBy>
  <cp:revision>2</cp:revision>
  <dcterms:created xsi:type="dcterms:W3CDTF">2012-10-24T04:23:00Z</dcterms:created>
  <dcterms:modified xsi:type="dcterms:W3CDTF">2012-10-24T04:29:00Z</dcterms:modified>
</cp:coreProperties>
</file>